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9E2BE">
      <w:pPr>
        <w:numPr>
          <w:ilvl w:val="-1"/>
          <w:numId w:val="0"/>
        </w:numPr>
        <w:spacing w:line="360" w:lineRule="auto"/>
        <w:ind w:firstLine="0"/>
        <w:rPr>
          <w:rFonts w:hint="default" w:ascii="Times New Roman" w:hAnsi="Times New Roman"/>
          <w:kern w:val="0"/>
          <w:sz w:val="36"/>
          <w:szCs w:val="36"/>
          <w:lang w:val="en-US" w:eastAsia="zh-CN"/>
        </w:rPr>
      </w:pPr>
      <w:r>
        <w:rPr>
          <w:rFonts w:hint="eastAsia" w:ascii="Times New Roman" w:hAnsi="Times New Roman"/>
          <w:kern w:val="0"/>
          <w:sz w:val="36"/>
          <w:szCs w:val="36"/>
          <w:lang w:val="en-US" w:eastAsia="zh-CN"/>
        </w:rPr>
        <w:t xml:space="preserve">          </w:t>
      </w:r>
      <w:r>
        <w:rPr>
          <w:rFonts w:hint="eastAsia" w:ascii="宋体" w:hAnsi="宋体" w:eastAsia="宋体" w:cs="宋体"/>
          <w:b/>
          <w:bCs/>
          <w:i w:val="0"/>
          <w:iCs w:val="0"/>
          <w:caps w:val="0"/>
          <w:color w:val="303133"/>
          <w:spacing w:val="0"/>
          <w:sz w:val="36"/>
          <w:szCs w:val="36"/>
          <w:shd w:val="clear" w:fill="FFFFFF"/>
        </w:rPr>
        <w:t>审稿专家意见及编辑部要求答复</w:t>
      </w:r>
      <w:r>
        <w:rPr>
          <w:rFonts w:hint="eastAsia" w:ascii="Times New Roman" w:hAnsi="Times New Roman"/>
          <w:kern w:val="0"/>
          <w:sz w:val="36"/>
          <w:szCs w:val="36"/>
          <w:lang w:val="en-US" w:eastAsia="zh-CN"/>
        </w:rPr>
        <w:t xml:space="preserve"> </w:t>
      </w:r>
    </w:p>
    <w:p w14:paraId="79C2681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 w:lineRule="atLeast"/>
        <w:ind w:left="0" w:right="0" w:firstLine="0"/>
        <w:jc w:val="left"/>
        <w:rPr>
          <w:rFonts w:hint="eastAsia" w:ascii="楷体" w:hAnsi="楷体" w:eastAsia="楷体" w:cs="楷体"/>
          <w:i w:val="0"/>
          <w:iCs w:val="0"/>
          <w:caps w:val="0"/>
          <w:color w:val="000000"/>
          <w:spacing w:val="0"/>
          <w:sz w:val="27"/>
          <w:szCs w:val="27"/>
        </w:rPr>
      </w:pPr>
      <w:r>
        <w:rPr>
          <w:rStyle w:val="11"/>
          <w:rFonts w:hint="eastAsia" w:ascii="楷体" w:hAnsi="楷体" w:eastAsia="楷体" w:cs="楷体"/>
          <w:b w:val="0"/>
          <w:bCs w:val="0"/>
          <w:i w:val="0"/>
          <w:iCs w:val="0"/>
          <w:caps w:val="0"/>
          <w:color w:val="000000"/>
          <w:spacing w:val="0"/>
          <w:sz w:val="27"/>
          <w:szCs w:val="27"/>
          <w:shd w:val="clear" w:fill="FFFFFF"/>
        </w:rPr>
        <w:t>文章编号：</w:t>
      </w:r>
    </w:p>
    <w:p w14:paraId="24D055F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 w:lineRule="atLeast"/>
        <w:ind w:left="0" w:right="0" w:firstLine="0"/>
        <w:jc w:val="left"/>
        <w:rPr>
          <w:rFonts w:hint="eastAsia" w:ascii="楷体" w:hAnsi="楷体" w:eastAsia="楷体" w:cs="楷体"/>
          <w:i w:val="0"/>
          <w:iCs w:val="0"/>
          <w:caps w:val="0"/>
          <w:color w:val="000000"/>
          <w:spacing w:val="0"/>
          <w:sz w:val="27"/>
          <w:szCs w:val="27"/>
        </w:rPr>
      </w:pPr>
      <w:r>
        <w:rPr>
          <w:rStyle w:val="11"/>
          <w:rFonts w:hint="eastAsia" w:ascii="楷体" w:hAnsi="楷体" w:eastAsia="楷体" w:cs="楷体"/>
          <w:b w:val="0"/>
          <w:bCs w:val="0"/>
          <w:i w:val="0"/>
          <w:iCs w:val="0"/>
          <w:caps w:val="0"/>
          <w:color w:val="000000"/>
          <w:spacing w:val="0"/>
          <w:sz w:val="27"/>
          <w:szCs w:val="27"/>
          <w:shd w:val="clear" w:fill="FFFFFF"/>
        </w:rPr>
        <w:t>文章名称：</w:t>
      </w:r>
    </w:p>
    <w:p w14:paraId="0E21CDB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 w:lineRule="atLeast"/>
        <w:ind w:left="0" w:right="0" w:firstLine="0"/>
        <w:jc w:val="left"/>
        <w:rPr>
          <w:rFonts w:hint="eastAsia" w:ascii="宋体" w:hAnsi="宋体" w:eastAsia="宋体" w:cs="宋体"/>
          <w:i w:val="0"/>
          <w:iCs w:val="0"/>
          <w:caps w:val="0"/>
          <w:color w:val="000000"/>
          <w:spacing w:val="0"/>
          <w:sz w:val="27"/>
          <w:szCs w:val="27"/>
        </w:rPr>
      </w:pPr>
      <w:r>
        <w:rPr>
          <w:rStyle w:val="11"/>
          <w:rFonts w:hint="eastAsia" w:ascii="楷体" w:hAnsi="楷体" w:eastAsia="楷体" w:cs="楷体"/>
          <w:b w:val="0"/>
          <w:bCs w:val="0"/>
          <w:i w:val="0"/>
          <w:iCs w:val="0"/>
          <w:caps w:val="0"/>
          <w:color w:val="000000"/>
          <w:spacing w:val="0"/>
          <w:sz w:val="27"/>
          <w:szCs w:val="27"/>
          <w:shd w:val="clear" w:fill="FFFFFF"/>
        </w:rPr>
        <w:t>第一作者</w:t>
      </w:r>
      <w:r>
        <w:rPr>
          <w:rStyle w:val="11"/>
          <w:rFonts w:hint="eastAsia" w:ascii="宋体" w:hAnsi="宋体" w:eastAsia="宋体" w:cs="宋体"/>
          <w:i w:val="0"/>
          <w:iCs w:val="0"/>
          <w:caps w:val="0"/>
          <w:color w:val="000000"/>
          <w:spacing w:val="0"/>
          <w:sz w:val="27"/>
          <w:szCs w:val="27"/>
          <w:shd w:val="clear" w:fill="FFFFFF"/>
        </w:rPr>
        <w:t>：</w:t>
      </w:r>
    </w:p>
    <w:p w14:paraId="63BDBE4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24" w:lineRule="atLeast"/>
        <w:ind w:left="0" w:right="0" w:firstLine="0"/>
        <w:jc w:val="left"/>
        <w:rPr>
          <w:rFonts w:hint="eastAsia" w:ascii="宋体" w:hAnsi="宋体" w:eastAsia="宋体" w:cs="宋体"/>
          <w:i w:val="0"/>
          <w:iCs w:val="0"/>
          <w:caps w:val="0"/>
          <w:color w:val="000000"/>
          <w:spacing w:val="0"/>
          <w:sz w:val="27"/>
          <w:szCs w:val="27"/>
        </w:rPr>
      </w:pPr>
      <w:r>
        <w:rPr>
          <w:rFonts w:hint="eastAsia" w:ascii="宋体" w:hAnsi="宋体" w:eastAsia="宋体" w:cs="宋体"/>
          <w:i w:val="0"/>
          <w:iCs w:val="0"/>
          <w:caps w:val="0"/>
          <w:color w:val="000000"/>
          <w:spacing w:val="0"/>
          <w:sz w:val="27"/>
          <w:szCs w:val="27"/>
          <w:shd w:val="clear" w:fill="FFFFFF"/>
        </w:rPr>
        <w:t> </w:t>
      </w:r>
    </w:p>
    <w:tbl>
      <w:tblPr>
        <w:tblStyle w:val="8"/>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366"/>
      </w:tblGrid>
      <w:tr w14:paraId="6240D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0BE0AD1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第一位审稿专家意见（请将审稿意见粘贴</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答复要写具体修改意见）</w:t>
            </w:r>
          </w:p>
        </w:tc>
      </w:tr>
      <w:tr w14:paraId="6D02E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8520" w:type="dxa"/>
            <w:shd w:val="clear" w:color="auto" w:fill="auto"/>
            <w:vAlign w:val="center"/>
          </w:tcPr>
          <w:p w14:paraId="7C0F69E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p>
          <w:p w14:paraId="5EA6D4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115E78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2.</w:t>
            </w:r>
          </w:p>
          <w:p w14:paraId="21A07EE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74CEC7B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3. </w:t>
            </w:r>
          </w:p>
          <w:p w14:paraId="707EDF0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2900DE5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w:t>
            </w:r>
          </w:p>
          <w:p w14:paraId="1B40817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 </w:t>
            </w:r>
          </w:p>
        </w:tc>
      </w:tr>
      <w:tr w14:paraId="6EE88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7EE12BA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第二位审稿专家意见（请将审稿意见粘贴</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答复要写具体修改意见）</w:t>
            </w:r>
          </w:p>
        </w:tc>
      </w:tr>
      <w:tr w14:paraId="01FAA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15" w:type="dxa"/>
        </w:trPr>
        <w:tc>
          <w:tcPr>
            <w:tcW w:w="8520" w:type="dxa"/>
            <w:shd w:val="clear" w:color="auto" w:fill="auto"/>
            <w:vAlign w:val="center"/>
          </w:tcPr>
          <w:p w14:paraId="24C8696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p>
          <w:p w14:paraId="0A26B9A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347FE13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2.</w:t>
            </w:r>
          </w:p>
          <w:p w14:paraId="4C553A1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727CB4A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3.</w:t>
            </w:r>
          </w:p>
          <w:p w14:paraId="5EDB87E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4F9E068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 </w:t>
            </w:r>
          </w:p>
        </w:tc>
      </w:tr>
      <w:tr w14:paraId="7B3BB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0592A16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第三位审稿专家或编辑意见（请将审稿意见粘贴</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答复要写具体修改意见）</w:t>
            </w:r>
          </w:p>
        </w:tc>
      </w:tr>
      <w:tr w14:paraId="60AE0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6D42A11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p>
          <w:p w14:paraId="0E2EE51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5E1262F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2.</w:t>
            </w:r>
          </w:p>
          <w:p w14:paraId="010D4BC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3DA4556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3.</w:t>
            </w:r>
          </w:p>
          <w:p w14:paraId="1E808D4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回复：</w:t>
            </w:r>
          </w:p>
          <w:p w14:paraId="7A1AE47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 </w:t>
            </w:r>
          </w:p>
        </w:tc>
      </w:tr>
      <w:tr w14:paraId="494CB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403B91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编辑部要求</w:t>
            </w:r>
          </w:p>
        </w:tc>
      </w:tr>
      <w:tr w14:paraId="4A94E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15" w:type="dxa"/>
        </w:trPr>
        <w:tc>
          <w:tcPr>
            <w:tcW w:w="8520" w:type="dxa"/>
            <w:shd w:val="clear" w:color="auto" w:fill="auto"/>
            <w:vAlign w:val="center"/>
          </w:tcPr>
          <w:p w14:paraId="1ADB757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已阅读本刊稿约，并按稿约要求撰写。</w:t>
            </w:r>
          </w:p>
          <w:p w14:paraId="09A3F8B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665B227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2.</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文题简明扼要，原则上不使用英文字母缩写词。文章字数达4 000字以上，以不超过7 000字为宜。</w:t>
            </w:r>
          </w:p>
          <w:p w14:paraId="6C3C3DF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76F5468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3.</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作者不超过8位（除非多中心研究）。作者单位要具体到科室。本刊不设并列第一作者和通信作者。作者排序和单位名称以清样签字为准，后续不得再修改。</w:t>
            </w:r>
          </w:p>
          <w:p w14:paraId="394CEBE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0AEDD0F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4.</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基金项目格式：中文名称（项目编号）。如有多个项目用“；”隔开。</w:t>
            </w:r>
          </w:p>
          <w:p w14:paraId="3DAB386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54EE3D1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5.</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如果涉及统计学方法，表述可借鉴如下：</w:t>
            </w:r>
            <w:r>
              <w:rPr>
                <w:rFonts w:hint="eastAsia" w:ascii="仿宋" w:hAnsi="仿宋" w:eastAsia="仿宋" w:cs="仿宋"/>
                <w:i w:val="0"/>
                <w:iCs w:val="0"/>
                <w:caps w:val="0"/>
                <w:color w:val="000000" w:themeColor="text1"/>
                <w:spacing w:val="0"/>
                <w:sz w:val="27"/>
                <w:szCs w:val="27"/>
                <w14:textFill>
                  <w14:solidFill>
                    <w14:schemeClr w14:val="tx1"/>
                  </w14:solidFill>
                </w14:textFill>
              </w:rPr>
              <w:t>采用SPSS 25.0统计数据。符合正态分布的计量资料以</w:t>
            </w:r>
            <w:r>
              <w:rPr>
                <w:rFonts w:hint="eastAsia" w:ascii="仿宋" w:hAnsi="仿宋" w:eastAsia="仿宋" w:cs="仿宋"/>
                <w:i/>
                <w:iCs/>
                <w:color w:val="000000" w:themeColor="text1"/>
                <w:sz w:val="24"/>
                <w:szCs w:val="24"/>
                <w:lang w:eastAsia="zh-CN"/>
                <w14:textFill>
                  <w14:solidFill>
                    <w14:schemeClr w14:val="tx1"/>
                  </w14:solidFill>
                </w14:textFill>
              </w:rPr>
              <w:t>χ</w:t>
            </w:r>
            <w:r>
              <w:rPr>
                <w:rFonts w:hint="eastAsia" w:ascii="仿宋" w:hAnsi="仿宋" w:eastAsia="仿宋" w:cs="仿宋"/>
                <w:i/>
                <w:iCs/>
                <w:snapToGrid w:val="0"/>
                <w:color w:val="000000" w:themeColor="text1"/>
                <w:sz w:val="24"/>
                <w:szCs w:val="24"/>
                <w14:textFill>
                  <w14:solidFill>
                    <w14:schemeClr w14:val="tx1"/>
                  </w14:solidFill>
                </w14:textFill>
              </w:rPr>
              <w:t>±s</w:t>
            </w:r>
            <w:r>
              <w:rPr>
                <w:rFonts w:hint="eastAsia" w:ascii="仿宋" w:hAnsi="仿宋" w:eastAsia="仿宋" w:cs="仿宋"/>
                <w:i w:val="0"/>
                <w:iCs w:val="0"/>
                <w:caps w:val="0"/>
                <w:color w:val="000000" w:themeColor="text1"/>
                <w:spacing w:val="0"/>
                <w:sz w:val="27"/>
                <w:szCs w:val="27"/>
                <w14:textFill>
                  <w14:solidFill>
                    <w14:schemeClr w14:val="tx1"/>
                  </w14:solidFill>
                </w14:textFill>
              </w:rPr>
              <w:t>表示，组间比较采用</w:t>
            </w:r>
            <w:r>
              <w:rPr>
                <w:rStyle w:val="12"/>
                <w:rFonts w:hint="eastAsia" w:ascii="仿宋" w:hAnsi="仿宋" w:eastAsia="仿宋" w:cs="仿宋"/>
                <w:i/>
                <w:iCs/>
                <w:caps w:val="0"/>
                <w:color w:val="000000" w:themeColor="text1"/>
                <w:spacing w:val="0"/>
                <w:sz w:val="27"/>
                <w:szCs w:val="27"/>
                <w14:textFill>
                  <w14:solidFill>
                    <w14:schemeClr w14:val="tx1"/>
                  </w14:solidFill>
                </w14:textFill>
              </w:rPr>
              <w:t>t</w:t>
            </w:r>
            <w:r>
              <w:rPr>
                <w:rFonts w:hint="eastAsia" w:ascii="仿宋" w:hAnsi="仿宋" w:eastAsia="仿宋" w:cs="仿宋"/>
                <w:i w:val="0"/>
                <w:iCs w:val="0"/>
                <w:caps w:val="0"/>
                <w:color w:val="000000" w:themeColor="text1"/>
                <w:spacing w:val="0"/>
                <w:sz w:val="27"/>
                <w:szCs w:val="27"/>
                <w14:textFill>
                  <w14:solidFill>
                    <w14:schemeClr w14:val="tx1"/>
                  </w14:solidFill>
                </w14:textFill>
              </w:rPr>
              <w:t>检验；不符合正态分布的计量资料以</w:t>
            </w:r>
            <w:r>
              <w:rPr>
                <w:rStyle w:val="12"/>
                <w:rFonts w:hint="eastAsia" w:ascii="仿宋" w:hAnsi="仿宋" w:eastAsia="仿宋" w:cs="仿宋"/>
                <w:i/>
                <w:iCs/>
                <w:caps w:val="0"/>
                <w:color w:val="000000" w:themeColor="text1"/>
                <w:spacing w:val="0"/>
                <w:sz w:val="27"/>
                <w:szCs w:val="27"/>
                <w14:textFill>
                  <w14:solidFill>
                    <w14:schemeClr w14:val="tx1"/>
                  </w14:solidFill>
                </w14:textFill>
              </w:rPr>
              <w:t>M（Q1,Q3）</w:t>
            </w:r>
            <w:r>
              <w:rPr>
                <w:rFonts w:hint="eastAsia" w:ascii="仿宋" w:hAnsi="仿宋" w:eastAsia="仿宋" w:cs="仿宋"/>
                <w:i w:val="0"/>
                <w:iCs w:val="0"/>
                <w:caps w:val="0"/>
                <w:color w:val="000000" w:themeColor="text1"/>
                <w:spacing w:val="0"/>
                <w:sz w:val="27"/>
                <w:szCs w:val="27"/>
                <w14:textFill>
                  <w14:solidFill>
                    <w14:schemeClr w14:val="tx1"/>
                  </w14:solidFill>
                </w14:textFill>
              </w:rPr>
              <w:t>表示，组间比较使用秩和检验；计数资料以人（%）表示，组间比较采用</w:t>
            </w:r>
            <w:r>
              <w:rPr>
                <w:rFonts w:hint="eastAsia" w:ascii="仿宋" w:hAnsi="仿宋" w:eastAsia="仿宋" w:cs="仿宋"/>
                <w:i/>
                <w:iCs/>
                <w:color w:val="000000" w:themeColor="text1"/>
                <w:kern w:val="0"/>
                <w:sz w:val="24"/>
                <w:szCs w:val="24"/>
                <w14:textFill>
                  <w14:solidFill>
                    <w14:schemeClr w14:val="tx1"/>
                  </w14:solidFill>
                </w14:textFill>
              </w:rPr>
              <w:t>χ</w:t>
            </w:r>
            <w:r>
              <w:rPr>
                <w:rFonts w:hint="eastAsia" w:ascii="仿宋" w:hAnsi="仿宋" w:eastAsia="仿宋" w:cs="仿宋"/>
                <w:i/>
                <w:iCs/>
                <w:color w:val="000000" w:themeColor="text1"/>
                <w:kern w:val="0"/>
                <w:sz w:val="24"/>
                <w:szCs w:val="24"/>
                <w:vertAlign w:val="superscript"/>
                <w14:textFill>
                  <w14:solidFill>
                    <w14:schemeClr w14:val="tx1"/>
                  </w14:solidFill>
                </w14:textFill>
              </w:rPr>
              <w:t>2</w:t>
            </w:r>
            <w:r>
              <w:rPr>
                <w:rFonts w:hint="eastAsia" w:ascii="仿宋" w:hAnsi="仿宋" w:eastAsia="仿宋" w:cs="仿宋"/>
                <w:i w:val="0"/>
                <w:iCs w:val="0"/>
                <w:caps w:val="0"/>
                <w:color w:val="000000" w:themeColor="text1"/>
                <w:spacing w:val="0"/>
                <w:sz w:val="27"/>
                <w:szCs w:val="27"/>
                <w14:textFill>
                  <w14:solidFill>
                    <w14:schemeClr w14:val="tx1"/>
                  </w14:solidFill>
                </w14:textFill>
              </w:rPr>
              <w:t>检验或Fisher确切概率法确切概率法。</w:t>
            </w:r>
            <w:r>
              <w:rPr>
                <w:rStyle w:val="12"/>
                <w:rFonts w:hint="eastAsia" w:ascii="仿宋" w:hAnsi="仿宋" w:eastAsia="仿宋" w:cs="仿宋"/>
                <w:i/>
                <w:iCs/>
                <w:caps w:val="0"/>
                <w:color w:val="000000" w:themeColor="text1"/>
                <w:spacing w:val="0"/>
                <w:sz w:val="27"/>
                <w:szCs w:val="27"/>
                <w14:textFill>
                  <w14:solidFill>
                    <w14:schemeClr w14:val="tx1"/>
                  </w14:solidFill>
                </w14:textFill>
              </w:rPr>
              <w:t>P</w:t>
            </w:r>
            <w:r>
              <w:rPr>
                <w:rFonts w:hint="eastAsia" w:ascii="仿宋" w:hAnsi="仿宋" w:eastAsia="仿宋" w:cs="仿宋"/>
                <w:i w:val="0"/>
                <w:iCs w:val="0"/>
                <w:caps w:val="0"/>
                <w:color w:val="000000" w:themeColor="text1"/>
                <w:spacing w:val="0"/>
                <w:sz w:val="27"/>
                <w:szCs w:val="27"/>
                <w14:textFill>
                  <w14:solidFill>
                    <w14:schemeClr w14:val="tx1"/>
                  </w14:solidFill>
                </w14:textFill>
              </w:rPr>
              <w:t>＜0.05为差异有统计学意义。（根据实际情况删减或补充）</w:t>
            </w:r>
          </w:p>
          <w:p w14:paraId="135AC64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299522E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6.涉及统计学比较，正确叙述为“差异有统计学意义”，不描述为“差异显著”“差异非常显著”“有（无）可比性”。</w:t>
            </w:r>
          </w:p>
          <w:p w14:paraId="7DFC7F8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671BDDF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lang w:val="en-US" w:eastAsia="zh-CN"/>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7.名词</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要求</w:t>
            </w:r>
          </w:p>
          <w:p w14:paraId="1216802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（1）住院医师规范化培训简称“住培”，不简称“规培”。</w:t>
            </w:r>
          </w:p>
          <w:p w14:paraId="77318EA9">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2）参加住院医师规范化培训的对象简称“住院医师”，不简称“学生”“规培生”“规培学员”“住培医师”。住院医师按来源分为：本单位住院医师，外单位委派住院医师，面向社会招收住院医师，医学硕士专业学位研究生。</w:t>
            </w:r>
          </w:p>
          <w:p w14:paraId="3D09A59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3</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参加专科医师规范化培训的培训对象称“在培专科医师”。</w:t>
            </w:r>
          </w:p>
          <w:p w14:paraId="2A44B9C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4</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住院医师或</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在培专科</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医师的带教老师称为“指导医师”（中医除外），统称为“带教师资”。</w:t>
            </w:r>
          </w:p>
          <w:p w14:paraId="18BFD0A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5</w:t>
            </w:r>
            <w:r>
              <w:rPr>
                <w:rStyle w:val="11"/>
                <w:rFonts w:hint="eastAsia" w:ascii="仿宋" w:hAnsi="仿宋" w:eastAsia="仿宋" w:cs="仿宋"/>
                <w:b w:val="0"/>
                <w:bCs w:val="0"/>
                <w:i w:val="0"/>
                <w:iCs w:val="0"/>
                <w:caps w:val="0"/>
                <w:color w:val="000000" w:themeColor="text1"/>
                <w:spacing w:val="0"/>
                <w:sz w:val="27"/>
                <w:szCs w:val="27"/>
                <w:lang w:eastAsia="zh-CN"/>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中医规范化培训简称“中医规培”；培训对象称“规培中医医师”或“规培医师”。</w:t>
            </w:r>
          </w:p>
          <w:p w14:paraId="39E55C8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6</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国家公布名录的住院医师规范化培训基地，简称“住培基地”。具体到专业（科室）简称“专业基地”。培训基地根据需要可以选择专科临床医教研工作特色突出、病种病例丰富、临床技能实践训练条件良好的其他医疗卫生机构作为协同单位，无“协同基地”概念。</w:t>
            </w:r>
          </w:p>
          <w:p w14:paraId="1CC46B2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31C0453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8.文题、作者、单位、通信作者、摘要、关键词均须有中英文。格式请</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参</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照模板文章要求。</w:t>
            </w:r>
          </w:p>
          <w:p w14:paraId="537A576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7EC34EE8">
            <w:pPr>
              <w:pStyle w:val="7"/>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教学模式包括：理论依据、教学目标、操作程序、实现条件、教学评价。不具备以上条件不能称之为教学模式</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w:t>
            </w:r>
          </w:p>
          <w:p w14:paraId="6353D32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24880F3C">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color w:val="000000" w:themeColor="text1"/>
                <w14:textFill>
                  <w14:solidFill>
                    <w14:schemeClr w14:val="tx1"/>
                  </w14:solidFill>
                </w14:textFill>
              </w:rPr>
            </w:pPr>
          </w:p>
          <w:p w14:paraId="3E4130A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10</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.中文摘要不超过500字，定量研究论文常规包括目的、方法、结果、结论4个部分。关键词一般3～5个，尽量从MeSH词表中选取（网址：http://www.nlm.nih.gov/mesh/Mbrowser.html）。</w:t>
            </w:r>
          </w:p>
          <w:p w14:paraId="460A325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521F14AA">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lang w:val="en-US" w:eastAsia="zh-CN"/>
                <w14:textFill>
                  <w14:solidFill>
                    <w14:schemeClr w14:val="tx1"/>
                  </w14:solidFill>
                </w14:textFill>
              </w:rPr>
              <w:t>11.</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研究分组分为观察组和对照组，观察组在前，对照组在后。</w:t>
            </w:r>
          </w:p>
          <w:p w14:paraId="2F044A38">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bCs/>
                <w:i w:val="0"/>
                <w:iCs w:val="0"/>
                <w:caps w:val="0"/>
                <w:color w:val="000000" w:themeColor="text1"/>
                <w:spacing w:val="0"/>
                <w:sz w:val="27"/>
                <w:szCs w:val="27"/>
                <w:lang w:val="en-US" w:eastAsia="zh-CN"/>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lang w:val="en-US" w:eastAsia="zh-CN"/>
                <w14:textFill>
                  <w14:solidFill>
                    <w14:schemeClr w14:val="tx1"/>
                  </w14:solidFill>
                </w14:textFill>
              </w:rPr>
              <w:t>回复：</w:t>
            </w:r>
          </w:p>
          <w:p w14:paraId="2E643141">
            <w:pPr>
              <w:pStyle w:val="7"/>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Style w:val="11"/>
                <w:rFonts w:hint="eastAsia" w:ascii="仿宋" w:hAnsi="仿宋" w:eastAsia="仿宋" w:cs="仿宋"/>
                <w:b/>
                <w:bCs/>
                <w:i w:val="0"/>
                <w:iCs w:val="0"/>
                <w:caps w:val="0"/>
                <w:color w:val="0000FF"/>
                <w:spacing w:val="0"/>
                <w:sz w:val="27"/>
                <w:szCs w:val="27"/>
                <w:lang w:val="en-US" w:eastAsia="zh-CN"/>
              </w:rPr>
            </w:pPr>
            <w:r>
              <w:rPr>
                <w:rStyle w:val="11"/>
                <w:rFonts w:hint="eastAsia" w:ascii="仿宋" w:hAnsi="仿宋" w:eastAsia="仿宋" w:cs="仿宋"/>
                <w:b/>
                <w:bCs/>
                <w:i w:val="0"/>
                <w:iCs w:val="0"/>
                <w:caps w:val="0"/>
                <w:color w:val="0000FF"/>
                <w:spacing w:val="0"/>
                <w:sz w:val="27"/>
                <w:szCs w:val="27"/>
                <w:lang w:val="en-US" w:eastAsia="zh-CN"/>
              </w:rPr>
              <w:t>本刊伦理学要求</w:t>
            </w:r>
          </w:p>
          <w:p w14:paraId="65062EFC">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2" w:firstLineChars="200"/>
              <w:jc w:val="left"/>
              <w:rPr>
                <w:rStyle w:val="11"/>
                <w:rFonts w:hint="eastAsia" w:ascii="仿宋" w:hAnsi="仿宋" w:eastAsia="仿宋" w:cs="仿宋"/>
                <w:b/>
                <w:bCs/>
                <w:i w:val="0"/>
                <w:iCs w:val="0"/>
                <w:caps w:val="0"/>
                <w:color w:val="0000FF"/>
                <w:spacing w:val="0"/>
                <w:sz w:val="27"/>
                <w:szCs w:val="27"/>
                <w:lang w:val="en-US" w:eastAsia="zh-CN"/>
              </w:rPr>
            </w:pPr>
            <w:r>
              <w:rPr>
                <w:rStyle w:val="11"/>
                <w:rFonts w:hint="eastAsia" w:ascii="仿宋" w:hAnsi="仿宋" w:eastAsia="仿宋" w:cs="仿宋"/>
                <w:b/>
                <w:bCs/>
                <w:i w:val="0"/>
                <w:iCs w:val="0"/>
                <w:caps w:val="0"/>
                <w:color w:val="0000FF"/>
                <w:spacing w:val="0"/>
                <w:sz w:val="27"/>
                <w:szCs w:val="27"/>
                <w:lang w:val="en-US" w:eastAsia="zh-CN"/>
              </w:rPr>
              <w:t>（1）</w:t>
            </w:r>
            <w:r>
              <w:rPr>
                <w:rStyle w:val="11"/>
                <w:rFonts w:hint="eastAsia" w:ascii="仿宋" w:hAnsi="仿宋" w:eastAsia="仿宋" w:cs="仿宋"/>
                <w:b/>
                <w:bCs/>
                <w:i w:val="0"/>
                <w:iCs w:val="0"/>
                <w:caps w:val="0"/>
                <w:color w:val="0000FF"/>
                <w:spacing w:val="0"/>
                <w:sz w:val="27"/>
                <w:szCs w:val="27"/>
              </w:rPr>
              <w:t>凡是涉及研究分组</w:t>
            </w:r>
            <w:r>
              <w:rPr>
                <w:rStyle w:val="11"/>
                <w:rFonts w:hint="eastAsia" w:ascii="仿宋" w:hAnsi="仿宋" w:eastAsia="仿宋" w:cs="仿宋"/>
                <w:b/>
                <w:bCs/>
                <w:i w:val="0"/>
                <w:iCs w:val="0"/>
                <w:caps w:val="0"/>
                <w:color w:val="0000FF"/>
                <w:spacing w:val="0"/>
                <w:sz w:val="27"/>
                <w:szCs w:val="27"/>
                <w:lang w:val="en-US" w:eastAsia="zh-CN"/>
              </w:rPr>
              <w:t>包括教学分组，须</w:t>
            </w:r>
            <w:r>
              <w:rPr>
                <w:rStyle w:val="11"/>
                <w:rFonts w:hint="eastAsia" w:ascii="仿宋" w:hAnsi="仿宋" w:eastAsia="仿宋" w:cs="仿宋"/>
                <w:b/>
                <w:bCs/>
                <w:i w:val="0"/>
                <w:iCs w:val="0"/>
                <w:caps w:val="0"/>
                <w:color w:val="0000FF"/>
                <w:spacing w:val="0"/>
                <w:sz w:val="27"/>
                <w:szCs w:val="27"/>
              </w:rPr>
              <w:t>提供本单位伦理委员会批准文件，并在研究对象文末加上“本研究经＊＊＊＊医院伦理委员会批准（审批号：）”。如</w:t>
            </w:r>
            <w:r>
              <w:rPr>
                <w:rStyle w:val="11"/>
                <w:rFonts w:hint="eastAsia" w:ascii="仿宋" w:hAnsi="仿宋" w:eastAsia="仿宋" w:cs="仿宋"/>
                <w:b/>
                <w:bCs/>
                <w:i w:val="0"/>
                <w:iCs w:val="0"/>
                <w:caps w:val="0"/>
                <w:color w:val="0000FF"/>
                <w:spacing w:val="0"/>
                <w:sz w:val="27"/>
                <w:szCs w:val="27"/>
                <w:lang w:val="en-US" w:eastAsia="zh-CN"/>
              </w:rPr>
              <w:t>不能提供，或</w:t>
            </w:r>
            <w:r>
              <w:rPr>
                <w:rStyle w:val="11"/>
                <w:rFonts w:hint="eastAsia" w:ascii="仿宋" w:hAnsi="仿宋" w:eastAsia="仿宋" w:cs="仿宋"/>
                <w:b/>
                <w:bCs/>
                <w:i w:val="0"/>
                <w:iCs w:val="0"/>
                <w:caps w:val="0"/>
                <w:color w:val="0000FF"/>
                <w:spacing w:val="0"/>
                <w:sz w:val="27"/>
                <w:szCs w:val="27"/>
              </w:rPr>
              <w:t>医院没有相关机构，</w:t>
            </w:r>
            <w:r>
              <w:rPr>
                <w:rStyle w:val="11"/>
                <w:rFonts w:hint="eastAsia" w:ascii="仿宋" w:hAnsi="仿宋" w:eastAsia="仿宋" w:cs="仿宋"/>
                <w:b/>
                <w:bCs/>
                <w:i w:val="0"/>
                <w:iCs w:val="0"/>
                <w:caps w:val="0"/>
                <w:color w:val="0000FF"/>
                <w:spacing w:val="0"/>
                <w:sz w:val="27"/>
                <w:szCs w:val="27"/>
                <w:lang w:val="en-US" w:eastAsia="zh-CN"/>
              </w:rPr>
              <w:t>须开具免除伦理证明。</w:t>
            </w:r>
          </w:p>
          <w:p w14:paraId="1771B4E1">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2" w:firstLineChars="200"/>
              <w:jc w:val="left"/>
              <w:rPr>
                <w:rStyle w:val="11"/>
                <w:rFonts w:hint="eastAsia" w:ascii="仿宋" w:hAnsi="仿宋" w:eastAsia="仿宋" w:cs="仿宋"/>
                <w:b/>
                <w:bCs/>
                <w:color w:val="0000FF"/>
                <w:sz w:val="27"/>
                <w:szCs w:val="27"/>
                <w:lang w:val="en-US" w:eastAsia="zh-CN"/>
              </w:rPr>
            </w:pPr>
            <w:r>
              <w:rPr>
                <w:rStyle w:val="11"/>
                <w:rFonts w:hint="eastAsia" w:ascii="仿宋" w:hAnsi="仿宋" w:eastAsia="仿宋" w:cs="仿宋"/>
                <w:b/>
                <w:bCs/>
                <w:color w:val="0000FF"/>
                <w:sz w:val="27"/>
                <w:szCs w:val="27"/>
                <w:lang w:val="en-US" w:eastAsia="zh-CN"/>
              </w:rPr>
              <w:t>（2）</w:t>
            </w:r>
            <w:r>
              <w:rPr>
                <w:rStyle w:val="11"/>
                <w:rFonts w:hint="eastAsia" w:ascii="仿宋" w:hAnsi="仿宋" w:eastAsia="仿宋" w:cs="仿宋"/>
                <w:b/>
                <w:bCs/>
                <w:color w:val="0000FF"/>
                <w:sz w:val="27"/>
                <w:szCs w:val="27"/>
              </w:rPr>
              <w:t>无论是教学分组，还是调查问卷，在研究对象部分须表述“本研究的研究对象对本研究知情同意，并签署了知情同意书”。要求提供每个研究对象签名的知情同意书</w:t>
            </w:r>
            <w:r>
              <w:rPr>
                <w:rStyle w:val="11"/>
                <w:rFonts w:hint="eastAsia" w:ascii="仿宋" w:hAnsi="仿宋" w:eastAsia="仿宋" w:cs="仿宋"/>
                <w:b/>
                <w:bCs/>
                <w:color w:val="0000FF"/>
                <w:sz w:val="27"/>
                <w:szCs w:val="27"/>
                <w:lang w:val="en-US" w:eastAsia="zh-CN"/>
              </w:rPr>
              <w:t>；调查问卷内容；调查人群列表（人群量较大）。</w:t>
            </w:r>
          </w:p>
          <w:p w14:paraId="4BD98AB4">
            <w:pPr>
              <w:pStyle w:val="7"/>
              <w:keepNext w:val="0"/>
              <w:keepLines w:val="0"/>
              <w:widowControl/>
              <w:numPr>
                <w:ilvl w:val="-1"/>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42" w:firstLineChars="200"/>
              <w:jc w:val="left"/>
              <w:rPr>
                <w:rFonts w:hint="eastAsia" w:ascii="仿宋" w:hAnsi="仿宋" w:eastAsia="仿宋" w:cs="仿宋"/>
                <w:color w:val="0000FF"/>
                <w:lang w:val="en-US" w:eastAsia="zh-CN"/>
              </w:rPr>
            </w:pPr>
            <w:r>
              <w:rPr>
                <w:rStyle w:val="11"/>
                <w:rFonts w:hint="eastAsia" w:ascii="仿宋" w:hAnsi="仿宋" w:eastAsia="仿宋" w:cs="仿宋"/>
                <w:b/>
                <w:bCs/>
                <w:color w:val="0000FF"/>
                <w:sz w:val="27"/>
                <w:szCs w:val="27"/>
              </w:rPr>
              <w:t>知情同意书样板可在杂志官网（http://www.gmecn.cn）下载中心下载。</w:t>
            </w:r>
            <w:r>
              <w:rPr>
                <w:rStyle w:val="11"/>
                <w:rFonts w:hint="eastAsia" w:ascii="仿宋" w:hAnsi="仿宋" w:eastAsia="仿宋" w:cs="仿宋"/>
                <w:b/>
                <w:bCs/>
                <w:color w:val="0000FF"/>
                <w:sz w:val="27"/>
                <w:szCs w:val="27"/>
                <w:lang w:val="en-US" w:eastAsia="zh-CN"/>
              </w:rPr>
              <w:t>如不能提供，须提供豁免知情同意的说明。</w:t>
            </w:r>
            <w:bookmarkStart w:id="0" w:name="_GoBack"/>
            <w:bookmarkEnd w:id="0"/>
          </w:p>
          <w:p w14:paraId="40A648F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797DC03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3.</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正文中英文缩略语若多次出现，首次出现标注方式：中文全称（英文全称，英文缩略语），后面直接用英文缩略语。</w:t>
            </w:r>
          </w:p>
          <w:p w14:paraId="47705D4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29942CE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4</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.文中统计表格用三线表（excel电子版）。图、表须有图题或表题。坐标X、Y轴须有题目，若是数量需加（单位）。图片要求清晰，彩色图修改为黑白，若有特殊需要保留彩图，需加版面费。</w:t>
            </w:r>
          </w:p>
          <w:p w14:paraId="6A81C39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4277279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5</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.文内引用红头文件需加文件号，格式为《文件全名》（文件号）。</w:t>
            </w:r>
          </w:p>
          <w:p w14:paraId="3A41755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2389F0A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6</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.摘要、正文及图、表中数据前后必须完全一致。同类数据后小数点后位数保持一致。</w:t>
            </w:r>
          </w:p>
          <w:p w14:paraId="3292AE4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7764512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7</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.参考文献与文中顺序先后一致。参考文献数量15条以上，以近5年为主，含部分英文参考文献。</w:t>
            </w:r>
          </w:p>
          <w:p w14:paraId="41BE4F6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356B05B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1</w:t>
            </w: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8</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.参考文献标明前3位作者姓名，3位以上时，中文加“等”，英文加“el al”.英文参考文献请登陆</w:t>
            </w:r>
            <w:r>
              <w:rPr>
                <w:rStyle w:val="11"/>
                <w:rFonts w:hint="eastAsia" w:ascii="仿宋" w:hAnsi="仿宋" w:eastAsia="仿宋" w:cs="仿宋"/>
                <w:b w:val="0"/>
                <w:bCs w:val="0"/>
                <w:i w:val="0"/>
                <w:iCs w:val="0"/>
                <w:caps w:val="0"/>
                <w:color w:val="000000" w:themeColor="text1"/>
                <w:spacing w:val="0"/>
                <w:sz w:val="27"/>
                <w:szCs w:val="27"/>
                <w:u w:val="none"/>
                <w14:textFill>
                  <w14:solidFill>
                    <w14:schemeClr w14:val="tx1"/>
                  </w14:solidFill>
                </w14:textFill>
              </w:rPr>
              <w:t>https://pubmed.ncbi.nlm.nih.gov/</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 核查，中文参考文献请登陆</w:t>
            </w:r>
            <w:r>
              <w:rPr>
                <w:rStyle w:val="11"/>
                <w:rFonts w:hint="eastAsia" w:ascii="仿宋" w:hAnsi="仿宋" w:eastAsia="仿宋" w:cs="仿宋"/>
                <w:b w:val="0"/>
                <w:bCs w:val="0"/>
                <w:i w:val="0"/>
                <w:iCs w:val="0"/>
                <w:caps w:val="0"/>
                <w:color w:val="000000" w:themeColor="text1"/>
                <w:spacing w:val="0"/>
                <w:sz w:val="27"/>
                <w:szCs w:val="27"/>
                <w:u w:val="none"/>
                <w14:textFill>
                  <w14:solidFill>
                    <w14:schemeClr w14:val="tx1"/>
                  </w14:solidFill>
                </w14:textFill>
              </w:rPr>
              <w:fldChar w:fldCharType="begin"/>
            </w:r>
            <w:r>
              <w:rPr>
                <w:rStyle w:val="11"/>
                <w:rFonts w:hint="eastAsia" w:ascii="仿宋" w:hAnsi="仿宋" w:eastAsia="仿宋" w:cs="仿宋"/>
                <w:b w:val="0"/>
                <w:bCs w:val="0"/>
                <w:i w:val="0"/>
                <w:iCs w:val="0"/>
                <w:caps w:val="0"/>
                <w:color w:val="000000" w:themeColor="text1"/>
                <w:spacing w:val="0"/>
                <w:sz w:val="27"/>
                <w:szCs w:val="27"/>
                <w:u w:val="none"/>
                <w14:textFill>
                  <w14:solidFill>
                    <w14:schemeClr w14:val="tx1"/>
                  </w14:solidFill>
                </w14:textFill>
              </w:rPr>
              <w:instrText xml:space="preserve"> HYPERLINK "http://www.cnkl.net/" </w:instrText>
            </w:r>
            <w:r>
              <w:rPr>
                <w:rStyle w:val="11"/>
                <w:rFonts w:hint="eastAsia" w:ascii="仿宋" w:hAnsi="仿宋" w:eastAsia="仿宋" w:cs="仿宋"/>
                <w:b w:val="0"/>
                <w:bCs w:val="0"/>
                <w:i w:val="0"/>
                <w:iCs w:val="0"/>
                <w:caps w:val="0"/>
                <w:color w:val="000000" w:themeColor="text1"/>
                <w:spacing w:val="0"/>
                <w:sz w:val="27"/>
                <w:szCs w:val="27"/>
                <w:u w:val="none"/>
                <w14:textFill>
                  <w14:solidFill>
                    <w14:schemeClr w14:val="tx1"/>
                  </w14:solidFill>
                </w14:textFill>
              </w:rPr>
              <w:fldChar w:fldCharType="separate"/>
            </w:r>
            <w:r>
              <w:rPr>
                <w:rStyle w:val="13"/>
                <w:rFonts w:hint="eastAsia" w:ascii="仿宋" w:hAnsi="仿宋" w:eastAsia="仿宋" w:cs="仿宋"/>
                <w:i w:val="0"/>
                <w:iCs w:val="0"/>
                <w:caps w:val="0"/>
                <w:color w:val="000000" w:themeColor="text1"/>
                <w:spacing w:val="0"/>
                <w:sz w:val="27"/>
                <w:szCs w:val="27"/>
                <w:u w:val="none"/>
                <w14:textFill>
                  <w14:solidFill>
                    <w14:schemeClr w14:val="tx1"/>
                  </w14:solidFill>
                </w14:textFill>
              </w:rPr>
              <w:t>www.cnki.net</w:t>
            </w:r>
            <w:r>
              <w:rPr>
                <w:rStyle w:val="11"/>
                <w:rFonts w:hint="eastAsia" w:ascii="仿宋" w:hAnsi="仿宋" w:eastAsia="仿宋" w:cs="仿宋"/>
                <w:b w:val="0"/>
                <w:bCs w:val="0"/>
                <w:i w:val="0"/>
                <w:iCs w:val="0"/>
                <w:caps w:val="0"/>
                <w:color w:val="000000" w:themeColor="text1"/>
                <w:spacing w:val="0"/>
                <w:sz w:val="27"/>
                <w:szCs w:val="27"/>
                <w:u w:val="none"/>
                <w14:textFill>
                  <w14:solidFill>
                    <w14:schemeClr w14:val="tx1"/>
                  </w14:solidFill>
                </w14:textFill>
              </w:rPr>
              <w:fldChar w:fldCharType="end"/>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核查。</w:t>
            </w:r>
          </w:p>
          <w:p w14:paraId="13359F4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6B366F9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19</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.如文章内容涉及住培两个标准、教学活动等，相关标准及指南已由中国医师协会颁布，请参照文献，核改文章内容及学术词汇。</w:t>
            </w:r>
          </w:p>
          <w:p w14:paraId="7F9BCEE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[1］中国医师协会.中国医师协会关于印发住培内容与标准、基地标准（2022年版）的通知(医协函〔2022〕557号)[EB/OL].(2022-08-05)[202</w:t>
            </w:r>
            <w:r>
              <w:rPr>
                <w:rFonts w:hint="eastAsia" w:ascii="仿宋" w:hAnsi="仿宋" w:eastAsia="仿宋" w:cs="仿宋"/>
                <w:i w:val="0"/>
                <w:iCs w:val="0"/>
                <w:caps w:val="0"/>
                <w:color w:val="000000" w:themeColor="text1"/>
                <w:spacing w:val="0"/>
                <w:sz w:val="27"/>
                <w:szCs w:val="27"/>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7"/>
                <w:szCs w:val="27"/>
                <w14:textFill>
                  <w14:solidFill>
                    <w14:schemeClr w14:val="tx1"/>
                  </w14:solidFill>
                </w14:textFill>
              </w:rPr>
              <w:t>-09-09].https://www.ccgme-cmda.cn/news/15117/article.</w:t>
            </w:r>
          </w:p>
          <w:p w14:paraId="496E974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[2］中国医师协会.中国医师协会关于发布《住院医师规范化培训教学活动指南（2021年版）》的通知(医协函〔2021〕883号)[EB/OL].(2021-12-13)[202</w:t>
            </w:r>
            <w:r>
              <w:rPr>
                <w:rFonts w:hint="eastAsia" w:ascii="仿宋" w:hAnsi="仿宋" w:eastAsia="仿宋" w:cs="仿宋"/>
                <w:i w:val="0"/>
                <w:iCs w:val="0"/>
                <w:caps w:val="0"/>
                <w:color w:val="000000" w:themeColor="text1"/>
                <w:spacing w:val="0"/>
                <w:sz w:val="27"/>
                <w:szCs w:val="27"/>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7"/>
                <w:szCs w:val="27"/>
                <w14:textFill>
                  <w14:solidFill>
                    <w14:schemeClr w14:val="tx1"/>
                  </w14:solidFill>
                </w14:textFill>
              </w:rPr>
              <w:t>-09-09].https://www.ccgme-cmda.cn/news/13963/article.</w:t>
            </w:r>
          </w:p>
          <w:p w14:paraId="257AC12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其中包括入院教育、教学查房、教学病讨论、临床小讲课、临床技能床旁教学、病历书写指导教学。</w:t>
            </w:r>
          </w:p>
          <w:p w14:paraId="266D5E4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[3］中国医师协会.中国医师协会关于发布住院医师规范化培训手术操作指导等教学活动指南的通知(医协函〔2022〕413号)[EB/OL].(2022-08-05)[202</w:t>
            </w:r>
            <w:r>
              <w:rPr>
                <w:rFonts w:hint="eastAsia" w:ascii="仿宋" w:hAnsi="仿宋" w:eastAsia="仿宋" w:cs="仿宋"/>
                <w:i w:val="0"/>
                <w:iCs w:val="0"/>
                <w:caps w:val="0"/>
                <w:color w:val="000000" w:themeColor="text1"/>
                <w:spacing w:val="0"/>
                <w:sz w:val="27"/>
                <w:szCs w:val="27"/>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7"/>
                <w:szCs w:val="27"/>
                <w14:textFill>
                  <w14:solidFill>
                    <w14:schemeClr w14:val="tx1"/>
                  </w14:solidFill>
                </w14:textFill>
              </w:rPr>
              <w:t>-09-09].https://www.ccgme-cmda.cn/news/14873/article.</w:t>
            </w:r>
          </w:p>
          <w:p w14:paraId="5F63818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其中包括入专业基地教育、入科轮转教育、手术操作指导、临床文献研读会、教学阅片、影像诊断报告书写、门诊教学实施、晨间报告实施。</w:t>
            </w:r>
          </w:p>
          <w:p w14:paraId="2D92858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[4]中国医师协会.中国医师协会关于发布住院医师规范化培训360度评估等指南的通知［EB/OL］.(2022-11-25 )[202</w:t>
            </w:r>
            <w:r>
              <w:rPr>
                <w:rFonts w:hint="eastAsia" w:ascii="仿宋" w:hAnsi="仿宋" w:eastAsia="仿宋" w:cs="仿宋"/>
                <w:i w:val="0"/>
                <w:iCs w:val="0"/>
                <w:caps w:val="0"/>
                <w:color w:val="000000" w:themeColor="text1"/>
                <w:spacing w:val="0"/>
                <w:sz w:val="27"/>
                <w:szCs w:val="27"/>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7"/>
                <w:szCs w:val="27"/>
                <w14:textFill>
                  <w14:solidFill>
                    <w14:schemeClr w14:val="tx1"/>
                  </w14:solidFill>
                </w14:textFill>
              </w:rPr>
              <w:t>-11-25］.https://www.ccgme-cmda.cn/news/15678/article.</w:t>
            </w:r>
          </w:p>
          <w:p w14:paraId="034A5E8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其中包括360度评估、迷你临床演练评估、操作技能直接观察评估及AOAP病例汇报评估。</w:t>
            </w:r>
          </w:p>
          <w:p w14:paraId="7CE87D2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63AC1C0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20</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.《中医医师规范化培训标准（2023版）》已颁布，请参照文献，核改文章内容及学术词汇。</w:t>
            </w:r>
          </w:p>
          <w:p w14:paraId="1CF79AD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 w:val="0"/>
                <w:iCs w:val="0"/>
                <w:caps w:val="0"/>
                <w:color w:val="000000" w:themeColor="text1"/>
                <w:spacing w:val="0"/>
                <w:sz w:val="27"/>
                <w:szCs w:val="27"/>
                <w14:textFill>
                  <w14:solidFill>
                    <w14:schemeClr w14:val="tx1"/>
                  </w14:solidFill>
                </w14:textFill>
              </w:rPr>
              <w:t>[1］国家中医药局,国家卫生健康委,教育部国家中医药局.国家中医药局 国家卫生健康委 教育部关于印发中医医师规范化培训实施办法等文件的通知［EB/OL］.(2023-09-28 )[202</w:t>
            </w:r>
            <w:r>
              <w:rPr>
                <w:rFonts w:hint="eastAsia" w:ascii="仿宋" w:hAnsi="仿宋" w:eastAsia="仿宋" w:cs="仿宋"/>
                <w:i w:val="0"/>
                <w:iCs w:val="0"/>
                <w:caps w:val="0"/>
                <w:color w:val="000000" w:themeColor="text1"/>
                <w:spacing w:val="0"/>
                <w:sz w:val="27"/>
                <w:szCs w:val="27"/>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7"/>
                <w:szCs w:val="27"/>
                <w14:textFill>
                  <w14:solidFill>
                    <w14:schemeClr w14:val="tx1"/>
                  </w14:solidFill>
                </w14:textFill>
              </w:rPr>
              <w:t>-11-25］.http://www.natcm.gov.cn/renjiaosi/zhengcewenjian/2024-01-26/33151.html.</w:t>
            </w:r>
          </w:p>
          <w:p w14:paraId="112C44A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b/>
                <w:bCs/>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p w14:paraId="02D68F4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val="0"/>
                <w:bCs w:val="0"/>
                <w:i w:val="0"/>
                <w:iCs w:val="0"/>
                <w:caps w:val="0"/>
                <w:color w:val="000000" w:themeColor="text1"/>
                <w:spacing w:val="0"/>
                <w:sz w:val="27"/>
                <w:szCs w:val="27"/>
                <w:lang w:val="en-US" w:eastAsia="zh-CN"/>
                <w14:textFill>
                  <w14:solidFill>
                    <w14:schemeClr w14:val="tx1"/>
                  </w14:solidFill>
                </w14:textFill>
              </w:rPr>
              <w:t>21</w:t>
            </w:r>
            <w:r>
              <w:rPr>
                <w:rStyle w:val="11"/>
                <w:rFonts w:hint="eastAsia" w:ascii="仿宋" w:hAnsi="仿宋" w:eastAsia="仿宋" w:cs="仿宋"/>
                <w:b w:val="0"/>
                <w:bCs w:val="0"/>
                <w:i w:val="0"/>
                <w:iCs w:val="0"/>
                <w:caps w:val="0"/>
                <w:color w:val="000000" w:themeColor="text1"/>
                <w:spacing w:val="0"/>
                <w:sz w:val="27"/>
                <w:szCs w:val="27"/>
                <w14:textFill>
                  <w14:solidFill>
                    <w14:schemeClr w14:val="tx1"/>
                  </w14:solidFill>
                </w14:textFill>
              </w:rPr>
              <w:t>.中国医师协会关于发布《住院医师规范化培训基地临床技能培训中心工作指南（2023年版）》的通知见https://www.ccgme-cmda.cn/news/16470/article，请参照指南，核改文章。</w:t>
            </w:r>
          </w:p>
          <w:p w14:paraId="2F0765A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rFonts w:hint="eastAsia" w:ascii="仿宋" w:hAnsi="仿宋" w:eastAsia="仿宋" w:cs="仿宋"/>
                <w:color w:val="000000" w:themeColor="text1"/>
                <w14:textFill>
                  <w14:solidFill>
                    <w14:schemeClr w14:val="tx1"/>
                  </w14:solidFill>
                </w14:textFill>
              </w:rPr>
            </w:pPr>
            <w:r>
              <w:rPr>
                <w:rStyle w:val="11"/>
                <w:rFonts w:hint="eastAsia" w:ascii="仿宋" w:hAnsi="仿宋" w:eastAsia="仿宋" w:cs="仿宋"/>
                <w:b/>
                <w:bCs/>
                <w:i w:val="0"/>
                <w:iCs w:val="0"/>
                <w:caps w:val="0"/>
                <w:color w:val="000000" w:themeColor="text1"/>
                <w:spacing w:val="0"/>
                <w:sz w:val="27"/>
                <w:szCs w:val="27"/>
                <w14:textFill>
                  <w14:solidFill>
                    <w14:schemeClr w14:val="tx1"/>
                  </w14:solidFill>
                </w14:textFill>
              </w:rPr>
              <w:t>回复：</w:t>
            </w:r>
          </w:p>
        </w:tc>
      </w:tr>
    </w:tbl>
    <w:p w14:paraId="6BCDAF0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 w:lineRule="atLeast"/>
        <w:ind w:left="0" w:right="0" w:firstLine="0"/>
        <w:jc w:val="left"/>
        <w:rPr>
          <w:rFonts w:hint="eastAsia" w:ascii="仿宋" w:hAnsi="仿宋" w:eastAsia="仿宋" w:cs="仿宋"/>
          <w:i w:val="0"/>
          <w:iCs w:val="0"/>
          <w:caps w:val="0"/>
          <w:color w:val="000000"/>
          <w:spacing w:val="0"/>
          <w:sz w:val="27"/>
          <w:szCs w:val="27"/>
        </w:rPr>
      </w:pPr>
      <w:r>
        <w:rPr>
          <w:rFonts w:hint="eastAsia" w:ascii="仿宋" w:hAnsi="仿宋" w:eastAsia="仿宋" w:cs="仿宋"/>
          <w:i w:val="0"/>
          <w:iCs w:val="0"/>
          <w:caps w:val="0"/>
          <w:color w:val="000000"/>
          <w:spacing w:val="0"/>
          <w:sz w:val="27"/>
          <w:szCs w:val="27"/>
          <w:shd w:val="clear" w:fill="FFFFFF"/>
        </w:rPr>
        <w:t> </w:t>
      </w:r>
    </w:p>
    <w:p w14:paraId="136A4A24">
      <w:pPr>
        <w:numPr>
          <w:ilvl w:val="-1"/>
          <w:numId w:val="0"/>
        </w:numPr>
        <w:spacing w:line="360" w:lineRule="auto"/>
        <w:ind w:firstLine="0"/>
        <w:rPr>
          <w:rFonts w:hint="eastAsia" w:ascii="仿宋" w:hAnsi="仿宋" w:eastAsia="仿宋" w:cs="仿宋"/>
          <w:kern w:val="0"/>
          <w:sz w:val="36"/>
          <w:szCs w:val="36"/>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modern"/>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5E7DE1"/>
    <w:multiLevelType w:val="singleLevel"/>
    <w:tmpl w:val="0F5E7DE1"/>
    <w:lvl w:ilvl="0" w:tentative="0">
      <w:start w:val="12"/>
      <w:numFmt w:val="decimal"/>
      <w:lvlText w:val="%1."/>
      <w:lvlJc w:val="left"/>
      <w:pPr>
        <w:tabs>
          <w:tab w:val="left" w:pos="312"/>
        </w:tabs>
      </w:pPr>
    </w:lvl>
  </w:abstractNum>
  <w:abstractNum w:abstractNumId="1">
    <w:nsid w:val="4E6692CA"/>
    <w:multiLevelType w:val="singleLevel"/>
    <w:tmpl w:val="4E6692CA"/>
    <w:lvl w:ilvl="0" w:tentative="0">
      <w:start w:val="9"/>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1NGRmMDc4M2Q5ZGIxNzIwZmI5NGFiYzY0YjJlNDYifQ=="/>
  </w:docVars>
  <w:rsids>
    <w:rsidRoot w:val="002A6C29"/>
    <w:rsid w:val="00003C1D"/>
    <w:rsid w:val="00031641"/>
    <w:rsid w:val="00040D58"/>
    <w:rsid w:val="00075DE3"/>
    <w:rsid w:val="000A24A1"/>
    <w:rsid w:val="000A5297"/>
    <w:rsid w:val="000B37D5"/>
    <w:rsid w:val="000B4EE2"/>
    <w:rsid w:val="000C258A"/>
    <w:rsid w:val="000C6423"/>
    <w:rsid w:val="000D052E"/>
    <w:rsid w:val="000E3281"/>
    <w:rsid w:val="000E35DE"/>
    <w:rsid w:val="000E5543"/>
    <w:rsid w:val="000F0B42"/>
    <w:rsid w:val="001132D2"/>
    <w:rsid w:val="00113A67"/>
    <w:rsid w:val="00120964"/>
    <w:rsid w:val="001266D9"/>
    <w:rsid w:val="00127B03"/>
    <w:rsid w:val="00140D6B"/>
    <w:rsid w:val="001413EE"/>
    <w:rsid w:val="00145161"/>
    <w:rsid w:val="001723D7"/>
    <w:rsid w:val="001732F3"/>
    <w:rsid w:val="00195A90"/>
    <w:rsid w:val="001C08A6"/>
    <w:rsid w:val="001E578F"/>
    <w:rsid w:val="00241756"/>
    <w:rsid w:val="00244C63"/>
    <w:rsid w:val="002461FE"/>
    <w:rsid w:val="00247ADA"/>
    <w:rsid w:val="0025021E"/>
    <w:rsid w:val="002515D8"/>
    <w:rsid w:val="00260FA5"/>
    <w:rsid w:val="00266B88"/>
    <w:rsid w:val="00282276"/>
    <w:rsid w:val="0028757C"/>
    <w:rsid w:val="00294BB5"/>
    <w:rsid w:val="002A6C29"/>
    <w:rsid w:val="002B1027"/>
    <w:rsid w:val="002D2EDB"/>
    <w:rsid w:val="002D61C8"/>
    <w:rsid w:val="002E596E"/>
    <w:rsid w:val="002F339B"/>
    <w:rsid w:val="002F3A8F"/>
    <w:rsid w:val="002F5D0A"/>
    <w:rsid w:val="0030148C"/>
    <w:rsid w:val="003044D0"/>
    <w:rsid w:val="00304E29"/>
    <w:rsid w:val="00307108"/>
    <w:rsid w:val="00314AA8"/>
    <w:rsid w:val="00321E1B"/>
    <w:rsid w:val="00325E3E"/>
    <w:rsid w:val="003373FD"/>
    <w:rsid w:val="00360F0A"/>
    <w:rsid w:val="00361F5E"/>
    <w:rsid w:val="00363A34"/>
    <w:rsid w:val="00363EAF"/>
    <w:rsid w:val="003707D5"/>
    <w:rsid w:val="003757AC"/>
    <w:rsid w:val="00384D6B"/>
    <w:rsid w:val="00390119"/>
    <w:rsid w:val="003C40A0"/>
    <w:rsid w:val="003C44F7"/>
    <w:rsid w:val="003C7A4D"/>
    <w:rsid w:val="003D325E"/>
    <w:rsid w:val="003E1714"/>
    <w:rsid w:val="003E1F1A"/>
    <w:rsid w:val="00415431"/>
    <w:rsid w:val="00426B72"/>
    <w:rsid w:val="00431B6D"/>
    <w:rsid w:val="00463D62"/>
    <w:rsid w:val="00471D75"/>
    <w:rsid w:val="00497B77"/>
    <w:rsid w:val="004A12B5"/>
    <w:rsid w:val="004A3C7D"/>
    <w:rsid w:val="004B1E1A"/>
    <w:rsid w:val="004E4354"/>
    <w:rsid w:val="004F434A"/>
    <w:rsid w:val="005075A5"/>
    <w:rsid w:val="005200A9"/>
    <w:rsid w:val="0054513F"/>
    <w:rsid w:val="00587C3D"/>
    <w:rsid w:val="00593533"/>
    <w:rsid w:val="005940DE"/>
    <w:rsid w:val="00596A4F"/>
    <w:rsid w:val="005A47D1"/>
    <w:rsid w:val="005B10FB"/>
    <w:rsid w:val="005D6386"/>
    <w:rsid w:val="005E37B7"/>
    <w:rsid w:val="005F3C00"/>
    <w:rsid w:val="0060696D"/>
    <w:rsid w:val="00643841"/>
    <w:rsid w:val="00653D83"/>
    <w:rsid w:val="00675358"/>
    <w:rsid w:val="00680DEC"/>
    <w:rsid w:val="00685906"/>
    <w:rsid w:val="006A1110"/>
    <w:rsid w:val="006A23F2"/>
    <w:rsid w:val="006A3F98"/>
    <w:rsid w:val="006A7AAA"/>
    <w:rsid w:val="006B3D07"/>
    <w:rsid w:val="006C3319"/>
    <w:rsid w:val="006E32B2"/>
    <w:rsid w:val="006E5642"/>
    <w:rsid w:val="006F01D0"/>
    <w:rsid w:val="006F1386"/>
    <w:rsid w:val="00710F4C"/>
    <w:rsid w:val="00754996"/>
    <w:rsid w:val="007708C3"/>
    <w:rsid w:val="007727C9"/>
    <w:rsid w:val="00781666"/>
    <w:rsid w:val="007A64B4"/>
    <w:rsid w:val="007A76CB"/>
    <w:rsid w:val="007D0F46"/>
    <w:rsid w:val="007D3D9F"/>
    <w:rsid w:val="007F0D67"/>
    <w:rsid w:val="00801B61"/>
    <w:rsid w:val="0080226C"/>
    <w:rsid w:val="008158C2"/>
    <w:rsid w:val="00817BED"/>
    <w:rsid w:val="008218C2"/>
    <w:rsid w:val="008639BC"/>
    <w:rsid w:val="008807F1"/>
    <w:rsid w:val="00896675"/>
    <w:rsid w:val="008B1018"/>
    <w:rsid w:val="008B5BE1"/>
    <w:rsid w:val="008D6513"/>
    <w:rsid w:val="008E07D1"/>
    <w:rsid w:val="008E62F1"/>
    <w:rsid w:val="008F3E5B"/>
    <w:rsid w:val="008F76B4"/>
    <w:rsid w:val="00911EFA"/>
    <w:rsid w:val="009151AA"/>
    <w:rsid w:val="00937757"/>
    <w:rsid w:val="009468F3"/>
    <w:rsid w:val="00966864"/>
    <w:rsid w:val="00972523"/>
    <w:rsid w:val="009A31ED"/>
    <w:rsid w:val="009B76DA"/>
    <w:rsid w:val="009C6BE7"/>
    <w:rsid w:val="009D7602"/>
    <w:rsid w:val="00A06EDD"/>
    <w:rsid w:val="00A1282D"/>
    <w:rsid w:val="00A12FFB"/>
    <w:rsid w:val="00A34B89"/>
    <w:rsid w:val="00A419C5"/>
    <w:rsid w:val="00A4501F"/>
    <w:rsid w:val="00A54003"/>
    <w:rsid w:val="00A72B90"/>
    <w:rsid w:val="00A87B5E"/>
    <w:rsid w:val="00AA6674"/>
    <w:rsid w:val="00AB0006"/>
    <w:rsid w:val="00AB2BD3"/>
    <w:rsid w:val="00AC47CE"/>
    <w:rsid w:val="00AD1953"/>
    <w:rsid w:val="00AE1DB9"/>
    <w:rsid w:val="00B007CD"/>
    <w:rsid w:val="00B01D71"/>
    <w:rsid w:val="00B14491"/>
    <w:rsid w:val="00B21F3D"/>
    <w:rsid w:val="00B27F49"/>
    <w:rsid w:val="00B31223"/>
    <w:rsid w:val="00B36AB9"/>
    <w:rsid w:val="00B37CCE"/>
    <w:rsid w:val="00B439FA"/>
    <w:rsid w:val="00B449CE"/>
    <w:rsid w:val="00B57113"/>
    <w:rsid w:val="00B61F54"/>
    <w:rsid w:val="00B866DC"/>
    <w:rsid w:val="00BA47E4"/>
    <w:rsid w:val="00BA4AC6"/>
    <w:rsid w:val="00BB1284"/>
    <w:rsid w:val="00BD1403"/>
    <w:rsid w:val="00C05BF9"/>
    <w:rsid w:val="00C2180F"/>
    <w:rsid w:val="00C34509"/>
    <w:rsid w:val="00C3666D"/>
    <w:rsid w:val="00C42BC7"/>
    <w:rsid w:val="00C61594"/>
    <w:rsid w:val="00C61F7C"/>
    <w:rsid w:val="00C71848"/>
    <w:rsid w:val="00C73F85"/>
    <w:rsid w:val="00C74B1E"/>
    <w:rsid w:val="00C75668"/>
    <w:rsid w:val="00C76592"/>
    <w:rsid w:val="00C81F73"/>
    <w:rsid w:val="00C916F1"/>
    <w:rsid w:val="00C948DF"/>
    <w:rsid w:val="00C95310"/>
    <w:rsid w:val="00CA0562"/>
    <w:rsid w:val="00CA2E3F"/>
    <w:rsid w:val="00CA45FB"/>
    <w:rsid w:val="00CA5B97"/>
    <w:rsid w:val="00CC6BC4"/>
    <w:rsid w:val="00CC7C4A"/>
    <w:rsid w:val="00CD2C8F"/>
    <w:rsid w:val="00CE61D8"/>
    <w:rsid w:val="00CF521B"/>
    <w:rsid w:val="00D00F6F"/>
    <w:rsid w:val="00D26713"/>
    <w:rsid w:val="00D4275F"/>
    <w:rsid w:val="00D4513F"/>
    <w:rsid w:val="00D557C9"/>
    <w:rsid w:val="00D61552"/>
    <w:rsid w:val="00D650A1"/>
    <w:rsid w:val="00D7757A"/>
    <w:rsid w:val="00D964C9"/>
    <w:rsid w:val="00D97E5C"/>
    <w:rsid w:val="00DA53E0"/>
    <w:rsid w:val="00DC315F"/>
    <w:rsid w:val="00E0574D"/>
    <w:rsid w:val="00E3627E"/>
    <w:rsid w:val="00E4299F"/>
    <w:rsid w:val="00E6260B"/>
    <w:rsid w:val="00E64621"/>
    <w:rsid w:val="00E8223B"/>
    <w:rsid w:val="00EB0CB7"/>
    <w:rsid w:val="00F04F5A"/>
    <w:rsid w:val="00F10DC5"/>
    <w:rsid w:val="00F27DC3"/>
    <w:rsid w:val="00F321AF"/>
    <w:rsid w:val="00F33D55"/>
    <w:rsid w:val="00F44014"/>
    <w:rsid w:val="00F63CFC"/>
    <w:rsid w:val="00F71B92"/>
    <w:rsid w:val="00F9364C"/>
    <w:rsid w:val="00FC2457"/>
    <w:rsid w:val="00FE0A4F"/>
    <w:rsid w:val="00FE2254"/>
    <w:rsid w:val="00FE5017"/>
    <w:rsid w:val="00FF1D9B"/>
    <w:rsid w:val="00FF70FD"/>
    <w:rsid w:val="022E6AD6"/>
    <w:rsid w:val="02750A6E"/>
    <w:rsid w:val="03E53EE9"/>
    <w:rsid w:val="03F47E43"/>
    <w:rsid w:val="04BF3B32"/>
    <w:rsid w:val="05702646"/>
    <w:rsid w:val="057273CF"/>
    <w:rsid w:val="05C2610F"/>
    <w:rsid w:val="066455AD"/>
    <w:rsid w:val="068B7B4B"/>
    <w:rsid w:val="06C64511"/>
    <w:rsid w:val="07211019"/>
    <w:rsid w:val="072D3240"/>
    <w:rsid w:val="08BA2EAF"/>
    <w:rsid w:val="09E14CC8"/>
    <w:rsid w:val="09F71FDB"/>
    <w:rsid w:val="0AC41ECB"/>
    <w:rsid w:val="0C1854D2"/>
    <w:rsid w:val="0C4B7B38"/>
    <w:rsid w:val="0D266F6C"/>
    <w:rsid w:val="0D3F3B12"/>
    <w:rsid w:val="0D831B82"/>
    <w:rsid w:val="0E487358"/>
    <w:rsid w:val="0EA307BE"/>
    <w:rsid w:val="0EA96B3F"/>
    <w:rsid w:val="0EDE0C83"/>
    <w:rsid w:val="0FAE2C99"/>
    <w:rsid w:val="11641917"/>
    <w:rsid w:val="11843E62"/>
    <w:rsid w:val="12667A16"/>
    <w:rsid w:val="12F81430"/>
    <w:rsid w:val="147806ED"/>
    <w:rsid w:val="161B3EFB"/>
    <w:rsid w:val="172C58B6"/>
    <w:rsid w:val="177D5B69"/>
    <w:rsid w:val="188902A5"/>
    <w:rsid w:val="19A76D78"/>
    <w:rsid w:val="19E442A5"/>
    <w:rsid w:val="1A26287E"/>
    <w:rsid w:val="1A8A01DC"/>
    <w:rsid w:val="1BAF443D"/>
    <w:rsid w:val="1CAD1A43"/>
    <w:rsid w:val="1CF324AD"/>
    <w:rsid w:val="1DDD1D11"/>
    <w:rsid w:val="1E0C69DD"/>
    <w:rsid w:val="1EE2703F"/>
    <w:rsid w:val="1F437545"/>
    <w:rsid w:val="1FED15C2"/>
    <w:rsid w:val="1FFB73FD"/>
    <w:rsid w:val="200F56B7"/>
    <w:rsid w:val="20C87D7F"/>
    <w:rsid w:val="215431F7"/>
    <w:rsid w:val="22CB403C"/>
    <w:rsid w:val="232109A8"/>
    <w:rsid w:val="237B5953"/>
    <w:rsid w:val="23B04530"/>
    <w:rsid w:val="24BC3CEA"/>
    <w:rsid w:val="25386CE1"/>
    <w:rsid w:val="255A5A8E"/>
    <w:rsid w:val="27630033"/>
    <w:rsid w:val="28EB2A27"/>
    <w:rsid w:val="293072D7"/>
    <w:rsid w:val="2946470D"/>
    <w:rsid w:val="294B2102"/>
    <w:rsid w:val="29B75DC6"/>
    <w:rsid w:val="29D132D3"/>
    <w:rsid w:val="2C0124F1"/>
    <w:rsid w:val="2C274568"/>
    <w:rsid w:val="2C7F706B"/>
    <w:rsid w:val="2D80608D"/>
    <w:rsid w:val="2EF01033"/>
    <w:rsid w:val="2F102CC8"/>
    <w:rsid w:val="306D2E0A"/>
    <w:rsid w:val="30E70363"/>
    <w:rsid w:val="31063E3B"/>
    <w:rsid w:val="31D75713"/>
    <w:rsid w:val="33143FEB"/>
    <w:rsid w:val="34551771"/>
    <w:rsid w:val="35467A14"/>
    <w:rsid w:val="36E23337"/>
    <w:rsid w:val="372147E3"/>
    <w:rsid w:val="37710E44"/>
    <w:rsid w:val="37D36B5C"/>
    <w:rsid w:val="37E20577"/>
    <w:rsid w:val="38343C2A"/>
    <w:rsid w:val="388E5DE6"/>
    <w:rsid w:val="39F928FC"/>
    <w:rsid w:val="3A7E2925"/>
    <w:rsid w:val="3A99462D"/>
    <w:rsid w:val="3BC477EF"/>
    <w:rsid w:val="3C21549C"/>
    <w:rsid w:val="3C4C67F6"/>
    <w:rsid w:val="3C8A120D"/>
    <w:rsid w:val="3CA45BDC"/>
    <w:rsid w:val="3CE17E67"/>
    <w:rsid w:val="3D7612C2"/>
    <w:rsid w:val="3DD570ED"/>
    <w:rsid w:val="3ECB4D11"/>
    <w:rsid w:val="3F390069"/>
    <w:rsid w:val="409B7CF4"/>
    <w:rsid w:val="414E58FD"/>
    <w:rsid w:val="42134CE6"/>
    <w:rsid w:val="427D1220"/>
    <w:rsid w:val="433470CB"/>
    <w:rsid w:val="443257A7"/>
    <w:rsid w:val="44505998"/>
    <w:rsid w:val="44586470"/>
    <w:rsid w:val="44F92CE4"/>
    <w:rsid w:val="453350AC"/>
    <w:rsid w:val="45D87D15"/>
    <w:rsid w:val="4678763B"/>
    <w:rsid w:val="46A17A1E"/>
    <w:rsid w:val="46C94D5D"/>
    <w:rsid w:val="4704089D"/>
    <w:rsid w:val="47242435"/>
    <w:rsid w:val="47DC19C0"/>
    <w:rsid w:val="48FD142B"/>
    <w:rsid w:val="494C5867"/>
    <w:rsid w:val="4BCB612F"/>
    <w:rsid w:val="4BD20FA2"/>
    <w:rsid w:val="4D10207F"/>
    <w:rsid w:val="4E041865"/>
    <w:rsid w:val="4E6545D9"/>
    <w:rsid w:val="4F4340B5"/>
    <w:rsid w:val="4F73502A"/>
    <w:rsid w:val="4F7E2E03"/>
    <w:rsid w:val="508A381E"/>
    <w:rsid w:val="51A53B85"/>
    <w:rsid w:val="526E1136"/>
    <w:rsid w:val="54EB6905"/>
    <w:rsid w:val="55080948"/>
    <w:rsid w:val="57A57911"/>
    <w:rsid w:val="57C54143"/>
    <w:rsid w:val="59DA6BF0"/>
    <w:rsid w:val="5A13715B"/>
    <w:rsid w:val="5AF46330"/>
    <w:rsid w:val="5B0E5855"/>
    <w:rsid w:val="5B914E2C"/>
    <w:rsid w:val="5BA2623B"/>
    <w:rsid w:val="5D440DD9"/>
    <w:rsid w:val="5D9112D7"/>
    <w:rsid w:val="5D965393"/>
    <w:rsid w:val="5E1B0BA4"/>
    <w:rsid w:val="5E442CE1"/>
    <w:rsid w:val="5F1E6DC4"/>
    <w:rsid w:val="60903FB0"/>
    <w:rsid w:val="611F2FDE"/>
    <w:rsid w:val="6303419F"/>
    <w:rsid w:val="633222B4"/>
    <w:rsid w:val="6349491D"/>
    <w:rsid w:val="6405260F"/>
    <w:rsid w:val="6496691B"/>
    <w:rsid w:val="659233DD"/>
    <w:rsid w:val="66513A01"/>
    <w:rsid w:val="687C00FB"/>
    <w:rsid w:val="68AA63BE"/>
    <w:rsid w:val="68FC10E5"/>
    <w:rsid w:val="6990790C"/>
    <w:rsid w:val="6A3B242E"/>
    <w:rsid w:val="6AA8256B"/>
    <w:rsid w:val="6ADD5AA9"/>
    <w:rsid w:val="6BA446AA"/>
    <w:rsid w:val="6BBB171B"/>
    <w:rsid w:val="6C6B6D4A"/>
    <w:rsid w:val="6D182FB2"/>
    <w:rsid w:val="6D193C3E"/>
    <w:rsid w:val="6DC7518E"/>
    <w:rsid w:val="6E00476A"/>
    <w:rsid w:val="6EA264EB"/>
    <w:rsid w:val="6EF910F1"/>
    <w:rsid w:val="6FAC6464"/>
    <w:rsid w:val="6FD64A5A"/>
    <w:rsid w:val="703C4992"/>
    <w:rsid w:val="706F44BE"/>
    <w:rsid w:val="709D17EE"/>
    <w:rsid w:val="711A400C"/>
    <w:rsid w:val="71745D32"/>
    <w:rsid w:val="71F031E3"/>
    <w:rsid w:val="740349EB"/>
    <w:rsid w:val="75070825"/>
    <w:rsid w:val="755547F6"/>
    <w:rsid w:val="763D3BC6"/>
    <w:rsid w:val="768753D4"/>
    <w:rsid w:val="76E843A7"/>
    <w:rsid w:val="77AE2F3E"/>
    <w:rsid w:val="781712EA"/>
    <w:rsid w:val="783353D7"/>
    <w:rsid w:val="78AC29AE"/>
    <w:rsid w:val="78F20F8C"/>
    <w:rsid w:val="791752A4"/>
    <w:rsid w:val="79931A7B"/>
    <w:rsid w:val="7B3C18F4"/>
    <w:rsid w:val="7BC4150B"/>
    <w:rsid w:val="7BE4366B"/>
    <w:rsid w:val="7C077F70"/>
    <w:rsid w:val="7C24750C"/>
    <w:rsid w:val="7C4511DD"/>
    <w:rsid w:val="7CF5126B"/>
    <w:rsid w:val="7D760F37"/>
    <w:rsid w:val="7D8D7E03"/>
    <w:rsid w:val="7DFE637D"/>
    <w:rsid w:val="7F326C0D"/>
    <w:rsid w:val="7F3A3964"/>
    <w:rsid w:val="7FF64AE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caption"/>
    <w:basedOn w:val="1"/>
    <w:next w:val="1"/>
    <w:autoRedefine/>
    <w:qFormat/>
    <w:uiPriority w:val="0"/>
    <w:rPr>
      <w:rFonts w:ascii="Arial" w:hAnsi="Arial" w:eastAsia="黑体" w:cs="Times New Roman"/>
      <w:sz w:val="20"/>
    </w:rPr>
  </w:style>
  <w:style w:type="paragraph" w:styleId="3">
    <w:name w:val="Body Text"/>
    <w:basedOn w:val="1"/>
    <w:semiHidden/>
    <w:qFormat/>
    <w:uiPriority w:val="0"/>
    <w:rPr>
      <w:rFonts w:ascii="微软雅黑" w:hAnsi="微软雅黑" w:eastAsia="微软雅黑" w:cs="微软雅黑"/>
      <w:sz w:val="17"/>
      <w:szCs w:val="17"/>
      <w:lang w:val="en-US" w:eastAsia="en-US" w:bidi="ar-SA"/>
    </w:rPr>
  </w:style>
  <w:style w:type="paragraph" w:styleId="4">
    <w:name w:val="Plain Text"/>
    <w:basedOn w:val="1"/>
    <w:link w:val="18"/>
    <w:autoRedefine/>
    <w:qFormat/>
    <w:uiPriority w:val="0"/>
    <w:rPr>
      <w:rFonts w:hAnsi="Courier New" w:asciiTheme="minorHAnsi" w:eastAsiaTheme="minorEastAsia" w:cstheme="minorBidi"/>
      <w:szCs w:val="24"/>
    </w:rPr>
  </w:style>
  <w:style w:type="paragraph" w:styleId="5">
    <w:name w:val="footer"/>
    <w:basedOn w:val="1"/>
    <w:link w:val="15"/>
    <w:autoRedefine/>
    <w:semiHidden/>
    <w:unhideWhenUsed/>
    <w:qFormat/>
    <w:uiPriority w:val="99"/>
    <w:pPr>
      <w:tabs>
        <w:tab w:val="center" w:pos="4153"/>
        <w:tab w:val="right" w:pos="8306"/>
      </w:tabs>
      <w:snapToGrid w:val="0"/>
      <w:jc w:val="left"/>
    </w:pPr>
    <w:rPr>
      <w:sz w:val="18"/>
      <w:szCs w:val="18"/>
    </w:rPr>
  </w:style>
  <w:style w:type="paragraph" w:styleId="6">
    <w:name w:val="header"/>
    <w:basedOn w:val="1"/>
    <w:link w:val="14"/>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autoRedefine/>
    <w:qFormat/>
    <w:uiPriority w:val="22"/>
    <w:rPr>
      <w:b/>
      <w:bCs/>
    </w:rPr>
  </w:style>
  <w:style w:type="character" w:styleId="12">
    <w:name w:val="Emphasis"/>
    <w:qFormat/>
    <w:uiPriority w:val="20"/>
    <w:rPr>
      <w:i/>
      <w:iCs/>
    </w:rPr>
  </w:style>
  <w:style w:type="character" w:styleId="13">
    <w:name w:val="Hyperlink"/>
    <w:autoRedefine/>
    <w:qFormat/>
    <w:uiPriority w:val="0"/>
    <w:rPr>
      <w:color w:val="2779B6"/>
      <w:u w:val="single"/>
    </w:rPr>
  </w:style>
  <w:style w:type="character" w:customStyle="1" w:styleId="14">
    <w:name w:val="页眉 Char"/>
    <w:basedOn w:val="10"/>
    <w:link w:val="6"/>
    <w:autoRedefine/>
    <w:semiHidden/>
    <w:qFormat/>
    <w:uiPriority w:val="99"/>
    <w:rPr>
      <w:sz w:val="18"/>
      <w:szCs w:val="18"/>
    </w:rPr>
  </w:style>
  <w:style w:type="character" w:customStyle="1" w:styleId="15">
    <w:name w:val="页脚 Char"/>
    <w:basedOn w:val="10"/>
    <w:link w:val="5"/>
    <w:autoRedefine/>
    <w:semiHidden/>
    <w:qFormat/>
    <w:uiPriority w:val="99"/>
    <w:rPr>
      <w:sz w:val="18"/>
      <w:szCs w:val="18"/>
    </w:rPr>
  </w:style>
  <w:style w:type="paragraph" w:styleId="16">
    <w:name w:val="List Paragraph"/>
    <w:basedOn w:val="1"/>
    <w:autoRedefine/>
    <w:qFormat/>
    <w:uiPriority w:val="34"/>
    <w:pPr>
      <w:widowControl/>
      <w:ind w:firstLine="420" w:firstLineChars="200"/>
      <w:jc w:val="left"/>
    </w:pPr>
    <w:rPr>
      <w:rFonts w:ascii="宋体" w:hAnsi="宋体" w:cs="宋体"/>
      <w:kern w:val="0"/>
      <w:sz w:val="24"/>
      <w:szCs w:val="24"/>
    </w:rPr>
  </w:style>
  <w:style w:type="character" w:customStyle="1" w:styleId="17">
    <w:name w:val="纯文本 Char"/>
    <w:basedOn w:val="10"/>
    <w:link w:val="4"/>
    <w:autoRedefine/>
    <w:qFormat/>
    <w:uiPriority w:val="0"/>
    <w:rPr>
      <w:rFonts w:hAnsi="Courier New"/>
      <w:szCs w:val="24"/>
    </w:rPr>
  </w:style>
  <w:style w:type="character" w:customStyle="1" w:styleId="18">
    <w:name w:val="纯文本 Char1"/>
    <w:basedOn w:val="10"/>
    <w:link w:val="4"/>
    <w:autoRedefine/>
    <w:semiHidden/>
    <w:qFormat/>
    <w:uiPriority w:val="99"/>
    <w:rPr>
      <w:rFonts w:ascii="宋体" w:hAnsi="Courier New" w:eastAsia="宋体" w:cs="Courier New"/>
      <w:szCs w:val="21"/>
    </w:rPr>
  </w:style>
  <w:style w:type="character" w:customStyle="1" w:styleId="19">
    <w:name w:val="Hyperlink.0"/>
    <w:basedOn w:val="20"/>
    <w:qFormat/>
    <w:uiPriority w:val="0"/>
    <w:rPr>
      <w:rFonts w:ascii="楷体" w:hAnsi="楷体" w:eastAsia="楷体" w:cs="楷体"/>
      <w:sz w:val="24"/>
      <w:szCs w:val="24"/>
      <w:lang w:val="en-US"/>
    </w:rPr>
  </w:style>
  <w:style w:type="character" w:customStyle="1" w:styleId="20">
    <w:name w:val="链接"/>
    <w:qFormat/>
    <w:uiPriority w:val="0"/>
    <w:rPr>
      <w:color w:val="0000FF"/>
      <w:u w:val="single" w:color="0000FF"/>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1113</Words>
  <Characters>1207</Characters>
  <Lines>1</Lines>
  <Paragraphs>1</Paragraphs>
  <TotalTime>12</TotalTime>
  <ScaleCrop>false</ScaleCrop>
  <LinksUpToDate>false</LinksUpToDate>
  <CharactersWithSpaces>1226</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2019-05-28T01:26:00Z</dcterms:created>
  <dc:creator>张 葳</dc:creator>
  <cp:lastModifiedBy>孟欣</cp:lastModifiedBy>
  <cp:lastPrinted>2026-01-26T02:51:00Z</cp:lastPrinted>
  <dcterms:modified xsi:type="dcterms:W3CDTF">2026-10-28T01:37:11Z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A8596FCC75B24EB68AFE3933194F11D0_13</vt:lpwstr>
  </property>
  <property fmtid="{D5CDD505-2E9C-101B-9397-08002B2CF9AE}" pid="4" name="KSOTemplateDocerSaveRecord">
    <vt:lpwstr>eyJoZGlkIjoiZDNiMzkwZDE2N2M2NjQ2N2ZjMzc1N2M3MmVkNDIzY2YiLCJ1c2VySWQiOiI0NjQ3MTk1OTcifQ==</vt:lpwstr>
  </property>
</Properties>
</file>